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E4BAE" w14:textId="189CAB7A" w:rsidR="00921B95" w:rsidRPr="000A2E4E" w:rsidRDefault="000A2E4E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iCs/>
          <w:lang w:eastAsia="pl-PL"/>
        </w:rPr>
        <w:t>Z</w:t>
      </w:r>
      <w:r w:rsidR="00F709B4" w:rsidRPr="000A2E4E">
        <w:rPr>
          <w:rFonts w:ascii="Times New Roman" w:eastAsia="Times New Roman" w:hAnsi="Times New Roman"/>
          <w:iCs/>
          <w:lang w:eastAsia="pl-PL"/>
        </w:rPr>
        <w:t xml:space="preserve">ałącznik </w:t>
      </w:r>
      <w:r w:rsidR="00EB02B8" w:rsidRPr="000A2E4E">
        <w:rPr>
          <w:rFonts w:ascii="Times New Roman" w:eastAsia="Times New Roman" w:hAnsi="Times New Roman"/>
          <w:iCs/>
          <w:lang w:eastAsia="pl-PL"/>
        </w:rPr>
        <w:t>B.</w:t>
      </w:r>
      <w:r>
        <w:rPr>
          <w:rFonts w:ascii="Times New Roman" w:eastAsia="Times New Roman" w:hAnsi="Times New Roman"/>
          <w:iCs/>
          <w:lang w:eastAsia="pl-PL"/>
        </w:rPr>
        <w:t>174</w:t>
      </w:r>
      <w:r w:rsidR="00EB02B8" w:rsidRPr="000A2E4E">
        <w:rPr>
          <w:rFonts w:ascii="Times New Roman" w:eastAsia="Times New Roman" w:hAnsi="Times New Roman"/>
          <w:iCs/>
          <w:lang w:eastAsia="pl-PL"/>
        </w:rPr>
        <w:t>.</w:t>
      </w:r>
    </w:p>
    <w:p w14:paraId="61AC7433" w14:textId="77777777" w:rsidR="00921B95" w:rsidRPr="000A2E4E" w:rsidRDefault="00921B9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4F7585D" w14:textId="77777777" w:rsidR="001237A5" w:rsidRPr="001237A5" w:rsidRDefault="001237A5" w:rsidP="001237A5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1237A5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LECZENIE CHORYCH NA ATAKSJĘ FRIEDREICHA (ICD-10: G11.1)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1237A5" w:rsidRPr="001237A5" w14:paraId="7D59C9D0" w14:textId="77777777" w:rsidTr="00D635AD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5E61E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1237A5" w:rsidRPr="001237A5" w14:paraId="3156CD1A" w14:textId="77777777" w:rsidTr="00D635AD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2440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BA469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SCHEMAT DAWKOWANIA LEKÓW </w:t>
            </w:r>
            <w:r w:rsidRPr="001237A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br/>
              <w:t>W PROGRAMIE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1F0C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BADANIA DIAGNOSTYCZNE WYKONYWANE </w:t>
            </w:r>
            <w:r w:rsidRPr="001237A5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br/>
              <w:t>W RAMACH PROGRAMU</w:t>
            </w:r>
          </w:p>
        </w:tc>
      </w:tr>
      <w:tr w:rsidR="001237A5" w:rsidRPr="001237A5" w14:paraId="6E664FFC" w14:textId="77777777" w:rsidTr="00D635AD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72BB2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Kwalifikacji świadczeniobiorców do terapii oraz ocenę skuteczności leczenia dokonuje Zespół Koordynacyjny ds. Leczenia chorych na ataksję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Friedreicha</w:t>
            </w:r>
            <w:proofErr w:type="spellEnd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powoływany przez Prezesa Narodowego Funduszu Zdrowia. </w:t>
            </w:r>
          </w:p>
          <w:p w14:paraId="30242FEB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774F258E" w14:textId="77777777" w:rsidR="001237A5" w:rsidRPr="001237A5" w:rsidRDefault="001237A5" w:rsidP="001237A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Kryteria kwalifikacji </w:t>
            </w:r>
          </w:p>
          <w:p w14:paraId="3260BAF6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Do leczenia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omaweloksolonem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kwalifikowani są pacjenci spełniający łącznie poniższe kryteria: </w:t>
            </w:r>
          </w:p>
          <w:p w14:paraId="43F14B4E" w14:textId="77777777" w:rsidR="001237A5" w:rsidRPr="001237A5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wiek:16 lat i powyżej;</w:t>
            </w:r>
          </w:p>
          <w:p w14:paraId="1AE2C44F" w14:textId="77777777" w:rsidR="001237A5" w:rsidRPr="001237A5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rozpoznanie ataksji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Friedreicha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potwierdzone badaniem genetycznym;</w:t>
            </w:r>
          </w:p>
          <w:p w14:paraId="0891BD6E" w14:textId="77777777" w:rsidR="001237A5" w:rsidRPr="001237A5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adekwatna wydolność narządowa określona na podstawie wyników badań laboratoryjnych krwi zgodnie z zapisami aktualnej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A1CD750" w14:textId="77777777" w:rsidR="001237A5" w:rsidRPr="001237A5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brak istotnych chorób współistniejących stanowiących przeciwskazanie do terapii stwierdzonych przez lekarza prowadzącego w oparciu o aktualną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F7CF44D" w14:textId="77777777" w:rsidR="001237A5" w:rsidRPr="001237A5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wykluczenie ciąży lub karmienia piersią.</w:t>
            </w:r>
          </w:p>
          <w:p w14:paraId="17B4F874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14:paraId="14AC42C0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237A5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Ponadto do programu lekowego kwalifikowani są również pacjenci wymagający kontynuacji leczenia, którzy byli leczeni dotychczas w ramach innego sposobu finansowania terapii, za wyjątkiem </w:t>
            </w:r>
            <w:r w:rsidRPr="001237A5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 xml:space="preserve">trwających badań klinicznych, pod warunkiem, że w chwili rozpoczęcia leczenia </w:t>
            </w:r>
            <w:proofErr w:type="spellStart"/>
            <w:r w:rsidRPr="001237A5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omaweloksolonem</w:t>
            </w:r>
            <w:proofErr w:type="spellEnd"/>
            <w:r w:rsidRPr="001237A5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spełniali kryteria kwalifikacji do programu lekowego.</w:t>
            </w:r>
          </w:p>
          <w:p w14:paraId="2F89739A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724A918" w14:textId="77777777" w:rsidR="001237A5" w:rsidRPr="001237A5" w:rsidRDefault="001237A5" w:rsidP="001237A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Określenie czasu leczenia w programie</w:t>
            </w:r>
          </w:p>
          <w:p w14:paraId="71B3D099" w14:textId="774A50B1" w:rsidR="00F7066E" w:rsidRPr="006D4E83" w:rsidRDefault="00F7066E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U pacjentów po ukończeniu 18 r.ż., l</w:t>
            </w:r>
            <w:r w:rsidR="001237A5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eczenie trwa do momentu</w:t>
            </w:r>
            <w:r w:rsidR="00BA3A83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określonego kryteriami wyłączenia w pkt. 3</w:t>
            </w:r>
            <w:r w:rsidR="006E77CE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  <w:r w:rsidR="00BA3A83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6E77CE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W szczególnych przypadkach,</w:t>
            </w:r>
            <w:r w:rsidR="008124DC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w których </w:t>
            </w:r>
            <w:r w:rsidR="006E77CE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w przebiegu choroby </w:t>
            </w:r>
            <w:r w:rsidR="008124DC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udokumentowano </w:t>
            </w:r>
            <w:r w:rsidR="009B42CC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istotne </w:t>
            </w:r>
            <w:r w:rsidR="008124DC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spowolnienie postępu dysfunkcji innych niż uwzględniane w skali </w:t>
            </w:r>
            <w:proofErr w:type="spellStart"/>
            <w:r w:rsidR="008124DC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mFARS</w:t>
            </w:r>
            <w:proofErr w:type="spellEnd"/>
            <w:r w:rsidR="006E77CE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</w:t>
            </w:r>
            <w:r w:rsidR="00405CFC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na wniosek ośrodka prowadzącego</w:t>
            </w:r>
            <w:r w:rsidR="006E77CE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, </w:t>
            </w:r>
            <w:r w:rsidR="00F709B4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Zespół Koordynacyjny ds. Leczenia chorych na ataksję </w:t>
            </w:r>
            <w:proofErr w:type="spellStart"/>
            <w:r w:rsidR="00F709B4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Friedreicha</w:t>
            </w:r>
            <w:proofErr w:type="spellEnd"/>
            <w:r w:rsidR="006E77CE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może podjąć decyzję o kontynuacji leczenia.</w:t>
            </w:r>
          </w:p>
          <w:p w14:paraId="6477E8DD" w14:textId="6D266C78" w:rsidR="001237A5" w:rsidRPr="006D4E83" w:rsidRDefault="00405CFC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U pacjentów przed ukończeniem 18 r.ż., leczenie trwa do momentu podjęcia decyzji przez </w:t>
            </w:r>
            <w:r w:rsidR="00F709B4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Zespół Koordynacyjny ds. Leczenia chorych na ataksję </w:t>
            </w:r>
            <w:proofErr w:type="spellStart"/>
            <w:r w:rsidR="00F709B4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Friedreicha</w:t>
            </w:r>
            <w:proofErr w:type="spellEnd"/>
            <w:r w:rsidR="006E77CE" w:rsidRPr="006D4E83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  <w:p w14:paraId="672D5CBF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6D4E8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powodu potwierdzonej ciąży oraz w okresie karmienia</w:t>
            </w:r>
            <w:r w:rsidRPr="001237A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piersią, możliwe jest czasowe zawieszenie leczenia z możliwością powrotu do stosowanej terapii.</w:t>
            </w:r>
          </w:p>
          <w:p w14:paraId="524BEBE5" w14:textId="77777777" w:rsidR="001237A5" w:rsidRPr="001237A5" w:rsidRDefault="001237A5" w:rsidP="001237A5">
            <w:pPr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Po ukończeniu 18 r.ż. nie ma konieczności ponownej kwalifikacji pacjenta do programu po przeniesieniu leczenia do ośrodka dla dorosłych. </w:t>
            </w:r>
          </w:p>
          <w:p w14:paraId="45A5883B" w14:textId="77777777" w:rsidR="001237A5" w:rsidRPr="001237A5" w:rsidRDefault="001237A5" w:rsidP="001237A5">
            <w:pPr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Pacjent będący w trakcie terapii, który ukończył 18 rok życia może kontynuować terapię w pediatrycznym ośrodku realizującym program lekowy do ukończenia 20 roku życia, po uzyskaniu indywidualnej zgody dyrektora wojewódzkiego oddziału NFZ. </w:t>
            </w:r>
          </w:p>
          <w:p w14:paraId="7A6829AE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913E7C8" w14:textId="77777777" w:rsidR="001237A5" w:rsidRPr="006D4E83" w:rsidRDefault="001237A5" w:rsidP="001237A5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6D4E83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Kryteria wyłączenia z programu</w:t>
            </w:r>
          </w:p>
          <w:p w14:paraId="740E7BE5" w14:textId="4921BF2B" w:rsidR="00F709B4" w:rsidRPr="006D4E83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brak skuteczności terapii definiowany jako pogorszenie o więcej niż 2 punkty średnio rocznie w skali </w:t>
            </w:r>
            <w:proofErr w:type="spellStart"/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mFARS</w:t>
            </w:r>
            <w:proofErr w:type="spellEnd"/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potwierdzone w dwóch kolejnych ocenach rocznych</w:t>
            </w:r>
            <w:r w:rsidR="00F709B4"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E6399"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z zaznaczeniem, że:</w:t>
            </w:r>
          </w:p>
          <w:p w14:paraId="5BAFA8F7" w14:textId="60AD6CBA" w:rsidR="001237A5" w:rsidRPr="006D4E83" w:rsidRDefault="00F709B4" w:rsidP="00F709B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w szczególnych przypadkach, w których w przebiegu choroby udokumentowano istotne spowolnienie postępu dysfunkcji innych niż uwzględniane w skali </w:t>
            </w:r>
            <w:proofErr w:type="spellStart"/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mFARS</w:t>
            </w:r>
            <w:proofErr w:type="spellEnd"/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, na wniosek ośrodka prowadzącego, Zespół Koordynacyjny ds. Leczenia chorych na ataksję </w:t>
            </w:r>
            <w:proofErr w:type="spellStart"/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Friedreicha</w:t>
            </w:r>
            <w:proofErr w:type="spellEnd"/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może podjąć decyzję o kontynuacji leczenia</w:t>
            </w:r>
            <w:r w:rsidR="000A2E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0DD72351" w14:textId="4220CFEC" w:rsidR="00F709B4" w:rsidRPr="006D4E83" w:rsidRDefault="00F709B4" w:rsidP="00F709B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nie dotyczy pacjentów przed ukończeniem 18 r.ż., u których leczenie trwa do momentu podjęcia decyzji przez Zespół Koordynacyjny ds. Leczenia chorych na ataksję </w:t>
            </w:r>
            <w:proofErr w:type="spellStart"/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Friedreicha</w:t>
            </w:r>
            <w:proofErr w:type="spellEnd"/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CF1E63E" w14:textId="2C0EB65E" w:rsidR="001237A5" w:rsidRPr="006D4E83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pojawienie się przeciwwskazań do leczenia wymienionych w Charakterystyce Produktu Leczniczego;</w:t>
            </w:r>
          </w:p>
          <w:p w14:paraId="671AC28B" w14:textId="49DE9DB1" w:rsidR="001237A5" w:rsidRPr="001237A5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6D4E8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wystąpienie chorób lub stanów, które w opinii</w:t>
            </w: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E6399" w:rsidRPr="00F709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Zesp</w:t>
            </w:r>
            <w:r w:rsidR="00E72AE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ołu</w:t>
            </w:r>
            <w:r w:rsidR="00CE6399" w:rsidRPr="00F709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Koordynacyjn</w:t>
            </w:r>
            <w:r w:rsidR="00E72AE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ego</w:t>
            </w:r>
            <w:r w:rsidR="00CE6399" w:rsidRPr="00F709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ds. Leczenia chorych na ataksję </w:t>
            </w:r>
            <w:proofErr w:type="spellStart"/>
            <w:r w:rsidR="00CE6399" w:rsidRPr="00F709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Friedreicha</w:t>
            </w:r>
            <w:proofErr w:type="spellEnd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uniemożliwiają kontynuację leczenia;</w:t>
            </w:r>
          </w:p>
          <w:p w14:paraId="08A64F9A" w14:textId="592F8F96" w:rsidR="001237A5" w:rsidRPr="001237A5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wystąpienie działań niepożądanych, które w opinii </w:t>
            </w:r>
            <w:r w:rsidR="00CE6399" w:rsidRPr="00F709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Zesp</w:t>
            </w:r>
            <w:r w:rsidR="00E72AE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ołu</w:t>
            </w:r>
            <w:r w:rsidR="00CE6399" w:rsidRPr="00F709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Koordynacyjn</w:t>
            </w:r>
            <w:r w:rsidR="00E72AE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ego</w:t>
            </w:r>
            <w:r w:rsidR="00CE6399" w:rsidRPr="00F709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ds. Leczenia chorych na ataksję </w:t>
            </w:r>
            <w:proofErr w:type="spellStart"/>
            <w:r w:rsidR="00CE6399" w:rsidRPr="00F709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Friedreicha</w:t>
            </w:r>
            <w:proofErr w:type="spellEnd"/>
            <w:r w:rsidR="00CE6399"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uniemożliwiają kontynuację leczenia;</w:t>
            </w:r>
          </w:p>
          <w:p w14:paraId="6F487925" w14:textId="77777777" w:rsidR="001237A5" w:rsidRPr="001237A5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wystąpienie nadwrażliwości na lek lub substancję pomocniczą uniemożliwiające kontynuację leczenia;</w:t>
            </w:r>
          </w:p>
          <w:p w14:paraId="4A5C751B" w14:textId="77777777" w:rsidR="001237A5" w:rsidRPr="001237A5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wystąpienie zagrażającej życiu albo nieakceptowalnej toksyczności pomimo zastosowania adekwatnego postępowania;</w:t>
            </w:r>
          </w:p>
          <w:p w14:paraId="58055F9A" w14:textId="77777777" w:rsidR="001237A5" w:rsidRPr="001237A5" w:rsidRDefault="001237A5" w:rsidP="001237A5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brak współpracy lub nieprzestrzeganie zaleceń lekarskich ze strony świadczeniobiorcy lub jego prawnych opiekunów w szczególności dotyczących okresowych badań kontrolnych oceniających skuteczność i bezpieczeństwo leczenia.</w:t>
            </w:r>
          </w:p>
          <w:p w14:paraId="61318C22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D9D17D" w14:textId="77777777" w:rsidR="001237A5" w:rsidRPr="001237A5" w:rsidRDefault="001237A5" w:rsidP="001237A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Dawkowanie leku w programie</w:t>
            </w:r>
          </w:p>
          <w:p w14:paraId="734679C8" w14:textId="77777777" w:rsidR="001237A5" w:rsidRPr="001237A5" w:rsidRDefault="001237A5" w:rsidP="001237A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7A5">
              <w:rPr>
                <w:rFonts w:ascii="Times New Roman" w:hAnsi="Times New Roman"/>
                <w:sz w:val="20"/>
                <w:szCs w:val="20"/>
              </w:rPr>
              <w:t>Sposób podawania oraz ewentualne czasowe wstrzymania leczenia, prowadzone zgodnie z aktualną Charakterystyką Produktu Leczniczego (</w:t>
            </w:r>
            <w:proofErr w:type="spellStart"/>
            <w:r w:rsidRPr="001237A5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1237A5">
              <w:rPr>
                <w:rFonts w:ascii="Times New Roman" w:hAnsi="Times New Roman"/>
                <w:sz w:val="20"/>
                <w:szCs w:val="20"/>
              </w:rPr>
              <w:t>) lub przyjętą praktyką kliniczną.</w:t>
            </w:r>
          </w:p>
          <w:p w14:paraId="71BAD188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Maksymalna dawka to 150 mg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omaweloksolonu</w:t>
            </w:r>
            <w:proofErr w:type="spellEnd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raz na dobę.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05538E" w14:textId="77777777" w:rsidR="001237A5" w:rsidRPr="001237A5" w:rsidRDefault="001237A5" w:rsidP="001237A5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Badania przy kwalifikacji:</w:t>
            </w:r>
          </w:p>
          <w:p w14:paraId="12633FE3" w14:textId="77777777" w:rsidR="001237A5" w:rsidRPr="001237A5" w:rsidRDefault="001237A5" w:rsidP="001237A5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aminotransferazy alaninowej;</w:t>
            </w:r>
          </w:p>
          <w:p w14:paraId="04969E04" w14:textId="77777777" w:rsidR="001237A5" w:rsidRPr="001237A5" w:rsidRDefault="001237A5" w:rsidP="001237A5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stężenia aminotransferazy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138BBEC" w14:textId="77777777" w:rsidR="001237A5" w:rsidRPr="001237A5" w:rsidRDefault="001237A5" w:rsidP="001237A5">
            <w:pPr>
              <w:numPr>
                <w:ilvl w:val="3"/>
                <w:numId w:val="32"/>
              </w:numPr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bilirubiny we krwi;</w:t>
            </w:r>
          </w:p>
          <w:p w14:paraId="188E169E" w14:textId="77777777" w:rsidR="001237A5" w:rsidRPr="001237A5" w:rsidRDefault="001237A5" w:rsidP="001237A5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glukozy i HbA1c we krwi;</w:t>
            </w:r>
          </w:p>
          <w:p w14:paraId="1E06629F" w14:textId="77777777" w:rsidR="001237A5" w:rsidRPr="001237A5" w:rsidRDefault="001237A5" w:rsidP="001237A5">
            <w:pPr>
              <w:numPr>
                <w:ilvl w:val="3"/>
                <w:numId w:val="32"/>
              </w:numPr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lipidogram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– oznaczenie cholesterolu całkowitego, cholesterolu frakcji LDL i HDL,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triglicerydów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6024294" w14:textId="77777777" w:rsidR="001237A5" w:rsidRPr="001237A5" w:rsidRDefault="001237A5" w:rsidP="001237A5">
            <w:pPr>
              <w:numPr>
                <w:ilvl w:val="3"/>
                <w:numId w:val="32"/>
              </w:numPr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badanie stężenia peptydu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natriuretycznego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typu B (BNP lub NT-pro-BNP);</w:t>
            </w:r>
          </w:p>
          <w:p w14:paraId="4FC11948" w14:textId="77777777" w:rsidR="001237A5" w:rsidRPr="001237A5" w:rsidRDefault="001237A5" w:rsidP="001237A5">
            <w:pPr>
              <w:numPr>
                <w:ilvl w:val="3"/>
                <w:numId w:val="32"/>
              </w:numPr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elektrokardiografia (EKG);</w:t>
            </w:r>
          </w:p>
          <w:p w14:paraId="3DF3C030" w14:textId="77777777" w:rsidR="001237A5" w:rsidRPr="001237A5" w:rsidRDefault="001237A5" w:rsidP="001237A5">
            <w:pPr>
              <w:numPr>
                <w:ilvl w:val="3"/>
                <w:numId w:val="32"/>
              </w:numPr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echokardiografa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(ECHO);</w:t>
            </w:r>
          </w:p>
          <w:p w14:paraId="4B20D3E5" w14:textId="77777777" w:rsidR="001237A5" w:rsidRPr="001237A5" w:rsidRDefault="001237A5" w:rsidP="001237A5">
            <w:pPr>
              <w:numPr>
                <w:ilvl w:val="3"/>
                <w:numId w:val="32"/>
              </w:numPr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konsultacja kardiologiczna;</w:t>
            </w:r>
          </w:p>
          <w:p w14:paraId="456DC598" w14:textId="77777777" w:rsidR="001237A5" w:rsidRPr="001237A5" w:rsidRDefault="001237A5" w:rsidP="001237A5">
            <w:pPr>
              <w:numPr>
                <w:ilvl w:val="3"/>
                <w:numId w:val="32"/>
              </w:numPr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pomiar masy ciała;</w:t>
            </w:r>
          </w:p>
          <w:p w14:paraId="1F42240C" w14:textId="77777777" w:rsidR="001237A5" w:rsidRPr="001237A5" w:rsidRDefault="001237A5" w:rsidP="001237A5">
            <w:pPr>
              <w:numPr>
                <w:ilvl w:val="3"/>
                <w:numId w:val="32"/>
              </w:numPr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 ciążowy (oświadczenie o stosowaniu skutecznej antykoncepcji w trakcie trwania terapii - u kobiet w wieku reprodukcyjnym);</w:t>
            </w:r>
          </w:p>
          <w:p w14:paraId="476DB34E" w14:textId="77777777" w:rsidR="001237A5" w:rsidRPr="001237A5" w:rsidRDefault="001237A5" w:rsidP="001237A5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konsultacja neurologiczna z oceną stopnia ciężkości choroby w skali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mFARS</w:t>
            </w:r>
            <w:proofErr w:type="spellEnd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wraz z określeniem wartości przy rozpoczynaniu leczenia.</w:t>
            </w:r>
          </w:p>
          <w:p w14:paraId="56849419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Warunkiem kwalifikacji do programu jest posiadanie dokumentacji medycznej wraz z badaniem genetycznym na podstawie której postawiono rozpoznanie ataksji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Friedreicha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73257FA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165E3F2" w14:textId="77777777" w:rsidR="001237A5" w:rsidRPr="001237A5" w:rsidRDefault="001237A5" w:rsidP="001237A5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bookmarkStart w:id="0" w:name="_Hlk52951758"/>
            <w:r w:rsidRPr="001237A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Monitorowanie leczenia</w:t>
            </w:r>
          </w:p>
          <w:p w14:paraId="5CE67163" w14:textId="77777777" w:rsidR="001237A5" w:rsidRPr="001237A5" w:rsidRDefault="001237A5" w:rsidP="001237A5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1237A5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Raz w miesiącu, przez pierwsze 3 miesiące leczenia, a następnie okresowo, zależnie od wskazań klinicznych należy wykonać:</w:t>
            </w:r>
          </w:p>
          <w:p w14:paraId="0F98BED5" w14:textId="77777777" w:rsidR="001237A5" w:rsidRPr="001237A5" w:rsidRDefault="001237A5" w:rsidP="001237A5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aminotransferazy alaninowej;</w:t>
            </w:r>
          </w:p>
          <w:p w14:paraId="71DD9903" w14:textId="77777777" w:rsidR="001237A5" w:rsidRPr="001237A5" w:rsidRDefault="001237A5" w:rsidP="001237A5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stężenia aminotransferazy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D440BAA" w14:textId="77777777" w:rsidR="001237A5" w:rsidRPr="001237A5" w:rsidRDefault="001237A5" w:rsidP="001237A5">
            <w:pPr>
              <w:numPr>
                <w:ilvl w:val="3"/>
                <w:numId w:val="32"/>
              </w:numPr>
              <w:spacing w:after="6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bilirubiny we krwi.</w:t>
            </w:r>
          </w:p>
          <w:p w14:paraId="1680511A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14:paraId="53B40BD7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Co 6 miesięcy, w 1. roku leczenia i raz na 12 miesięcy od 2. roku leczenia należy wykonać:</w:t>
            </w:r>
          </w:p>
          <w:p w14:paraId="3D371631" w14:textId="77777777" w:rsidR="001237A5" w:rsidRPr="001237A5" w:rsidRDefault="001237A5" w:rsidP="001237A5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lipidogram</w:t>
            </w:r>
            <w:proofErr w:type="spellEnd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– oznaczenie cholesterolu całkowitego, cholesterolu frakcji LDL i HDL,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triglicerydów</w:t>
            </w:r>
            <w:proofErr w:type="spellEnd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055B1C89" w14:textId="77777777" w:rsidR="001237A5" w:rsidRPr="001237A5" w:rsidRDefault="001237A5" w:rsidP="001237A5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badanie stężenia peptydu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natriuretycznego</w:t>
            </w:r>
            <w:proofErr w:type="spellEnd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typu B (BNP lub NT-pro-BNP);</w:t>
            </w:r>
          </w:p>
          <w:p w14:paraId="1362793B" w14:textId="77777777" w:rsidR="001237A5" w:rsidRPr="001237A5" w:rsidRDefault="001237A5" w:rsidP="001237A5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pomiar masy ciała.</w:t>
            </w:r>
          </w:p>
          <w:p w14:paraId="43D18E85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9556619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Raz na 12 miesięcy należy wykonać:</w:t>
            </w:r>
          </w:p>
          <w:p w14:paraId="3C3AA87F" w14:textId="77777777" w:rsidR="001237A5" w:rsidRPr="001237A5" w:rsidRDefault="001237A5" w:rsidP="001237A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elektrokardiografia (EKG);</w:t>
            </w:r>
          </w:p>
          <w:p w14:paraId="315EDAB1" w14:textId="77777777" w:rsidR="001237A5" w:rsidRPr="001237A5" w:rsidRDefault="001237A5" w:rsidP="001237A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echokardiografa</w:t>
            </w:r>
            <w:proofErr w:type="spellEnd"/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 xml:space="preserve"> (ECHO);</w:t>
            </w:r>
          </w:p>
          <w:p w14:paraId="1EF887E1" w14:textId="77777777" w:rsidR="001237A5" w:rsidRPr="001237A5" w:rsidRDefault="001237A5" w:rsidP="001237A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  <w:t>konsultacja kardiologiczna.</w:t>
            </w:r>
          </w:p>
          <w:p w14:paraId="3F817278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14:paraId="6411341E" w14:textId="110FA26C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Ocenę skuteczności na podstawie redukcji stopnia ciężkości choroby w skali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mFARS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wykonuje się co 6 miesięcy.</w:t>
            </w:r>
            <w:bookmarkEnd w:id="0"/>
          </w:p>
          <w:p w14:paraId="03094A87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Na podstawie ww. badań w celu monitorowania skuteczności leczenia Zespół Koordynacyjny ds. Leczenia chorych na ataksję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Friedreicha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określa dla indywidualnego pacjenta wskaźniki odpowiedzi na leczenie, w tym:</w:t>
            </w:r>
          </w:p>
          <w:p w14:paraId="167CD88A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- zmiana wyniku w skali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mFARS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w ciągu 12 miesięcy leczenia.</w:t>
            </w:r>
          </w:p>
          <w:p w14:paraId="4E8BE227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Dane gromadzone są w elektronicznym systemie monitorowania programów lekowych i analizowane przez Zespół Koordynacyjny ds. Leczenia chorych na ataksję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Friedreicha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, który podsumowuje wyniki leczenia w programie lekowym na koniec każdego roku. </w:t>
            </w:r>
          </w:p>
          <w:p w14:paraId="676FCF9A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14:paraId="477C3431" w14:textId="77777777" w:rsidR="001237A5" w:rsidRPr="001237A5" w:rsidRDefault="001237A5" w:rsidP="001237A5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pl-PL"/>
              </w:rPr>
              <w:t>Monitorowanie programu</w:t>
            </w:r>
          </w:p>
          <w:p w14:paraId="02EB0F33" w14:textId="77777777" w:rsidR="001237A5" w:rsidRPr="001237A5" w:rsidRDefault="001237A5" w:rsidP="001237A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EB2D160" w14:textId="77777777" w:rsidR="001237A5" w:rsidRPr="001237A5" w:rsidRDefault="001237A5" w:rsidP="001237A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leczenia; w tym przekazywanie danych dotyczących wskaźników efektywności:</w:t>
            </w:r>
          </w:p>
          <w:p w14:paraId="7D170C0B" w14:textId="77777777" w:rsidR="001237A5" w:rsidRPr="001237A5" w:rsidRDefault="001237A5" w:rsidP="001237A5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ind w:left="811" w:hanging="35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wynik w skali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mFARS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przy rozpoczynaniu leczenia,</w:t>
            </w:r>
          </w:p>
          <w:p w14:paraId="7835ED5E" w14:textId="77777777" w:rsidR="001237A5" w:rsidRPr="001237A5" w:rsidRDefault="001237A5" w:rsidP="001237A5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ind w:left="811" w:hanging="357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wynik w skali </w:t>
            </w:r>
            <w:proofErr w:type="spellStart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mFARS</w:t>
            </w:r>
            <w:proofErr w:type="spellEnd"/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podczas oceny skuteczności;</w:t>
            </w:r>
          </w:p>
          <w:p w14:paraId="47E0143A" w14:textId="77777777" w:rsidR="001237A5" w:rsidRPr="001237A5" w:rsidRDefault="001237A5" w:rsidP="001237A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237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7A74D041" w14:textId="77777777" w:rsidR="001237A5" w:rsidRPr="001237A5" w:rsidRDefault="001237A5" w:rsidP="001237A5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69D2C48D" w14:textId="77777777" w:rsidR="00921B95" w:rsidRDefault="00921B9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sectPr w:rsidR="00921B95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FCBE4" w14:textId="77777777" w:rsidR="00E07890" w:rsidRDefault="00E07890">
      <w:pPr>
        <w:spacing w:after="0" w:line="240" w:lineRule="auto"/>
      </w:pPr>
      <w:r>
        <w:separator/>
      </w:r>
    </w:p>
  </w:endnote>
  <w:endnote w:type="continuationSeparator" w:id="0">
    <w:p w14:paraId="4FE40284" w14:textId="77777777" w:rsidR="00E07890" w:rsidRDefault="00E07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63215" w14:textId="77777777" w:rsidR="00E07890" w:rsidRDefault="00E07890">
      <w:pPr>
        <w:spacing w:after="0" w:line="240" w:lineRule="auto"/>
      </w:pPr>
      <w:r>
        <w:separator/>
      </w:r>
    </w:p>
  </w:footnote>
  <w:footnote w:type="continuationSeparator" w:id="0">
    <w:p w14:paraId="5903BABB" w14:textId="77777777" w:rsidR="00E07890" w:rsidRDefault="00E07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1F6126"/>
    <w:multiLevelType w:val="multilevel"/>
    <w:tmpl w:val="591031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9181DB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B89425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EDD6479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4DC6066"/>
    <w:multiLevelType w:val="multilevel"/>
    <w:tmpl w:val="B3A657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F7806AF"/>
    <w:multiLevelType w:val="multilevel"/>
    <w:tmpl w:val="ED80E0A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55E33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58510E4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62B6DEE"/>
    <w:multiLevelType w:val="multilevel"/>
    <w:tmpl w:val="67B60E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7842E3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B4413F0"/>
    <w:multiLevelType w:val="hybridMultilevel"/>
    <w:tmpl w:val="EED89B9C"/>
    <w:lvl w:ilvl="0" w:tplc="DAC41AA8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A0A5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71725DE"/>
    <w:multiLevelType w:val="multilevel"/>
    <w:tmpl w:val="C96E099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D31482A"/>
    <w:multiLevelType w:val="multilevel"/>
    <w:tmpl w:val="73E459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EC13F7D"/>
    <w:multiLevelType w:val="hybridMultilevel"/>
    <w:tmpl w:val="C7B87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059A1"/>
    <w:multiLevelType w:val="multilevel"/>
    <w:tmpl w:val="9434FC1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96607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A1E2D97"/>
    <w:multiLevelType w:val="multilevel"/>
    <w:tmpl w:val="F574FDA0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DDF39C1"/>
    <w:multiLevelType w:val="hybridMultilevel"/>
    <w:tmpl w:val="C096E862"/>
    <w:lvl w:ilvl="0" w:tplc="7974EB0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A3DC1"/>
    <w:multiLevelType w:val="multilevel"/>
    <w:tmpl w:val="5F3AB53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3023577"/>
    <w:multiLevelType w:val="hybridMultilevel"/>
    <w:tmpl w:val="A2BA5668"/>
    <w:lvl w:ilvl="0" w:tplc="DE06296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E496C"/>
    <w:multiLevelType w:val="hybridMultilevel"/>
    <w:tmpl w:val="D096B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E456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3B313A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735383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D440DE3"/>
    <w:multiLevelType w:val="multilevel"/>
    <w:tmpl w:val="1ADA62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E6721C6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F7C49F8"/>
    <w:multiLevelType w:val="multilevel"/>
    <w:tmpl w:val="553A10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FCA569D"/>
    <w:multiLevelType w:val="multilevel"/>
    <w:tmpl w:val="64D6D5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1D13D47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1" w15:restartNumberingAfterBreak="0">
    <w:nsid w:val="737A61B0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5F5159B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BB10DEC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D4D3C69"/>
    <w:multiLevelType w:val="multilevel"/>
    <w:tmpl w:val="C71863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E5E3B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166245421">
    <w:abstractNumId w:val="19"/>
  </w:num>
  <w:num w:numId="2" w16cid:durableId="116341078">
    <w:abstractNumId w:val="22"/>
  </w:num>
  <w:num w:numId="3" w16cid:durableId="1955163809">
    <w:abstractNumId w:val="18"/>
  </w:num>
  <w:num w:numId="4" w16cid:durableId="1988196743">
    <w:abstractNumId w:val="32"/>
  </w:num>
  <w:num w:numId="5" w16cid:durableId="67771078">
    <w:abstractNumId w:val="33"/>
  </w:num>
  <w:num w:numId="6" w16cid:durableId="867376002">
    <w:abstractNumId w:val="25"/>
  </w:num>
  <w:num w:numId="7" w16cid:durableId="1670521936">
    <w:abstractNumId w:val="35"/>
  </w:num>
  <w:num w:numId="8" w16cid:durableId="1777554734">
    <w:abstractNumId w:val="2"/>
  </w:num>
  <w:num w:numId="9" w16cid:durableId="1157114727">
    <w:abstractNumId w:val="6"/>
  </w:num>
  <w:num w:numId="10" w16cid:durableId="1102913511">
    <w:abstractNumId w:val="16"/>
  </w:num>
  <w:num w:numId="11" w16cid:durableId="1952777882">
    <w:abstractNumId w:val="4"/>
  </w:num>
  <w:num w:numId="12" w16cid:durableId="1451322356">
    <w:abstractNumId w:val="28"/>
  </w:num>
  <w:num w:numId="13" w16cid:durableId="715081116">
    <w:abstractNumId w:val="14"/>
  </w:num>
  <w:num w:numId="14" w16cid:durableId="321547130">
    <w:abstractNumId w:val="3"/>
  </w:num>
  <w:num w:numId="15" w16cid:durableId="1161890634">
    <w:abstractNumId w:val="26"/>
  </w:num>
  <w:num w:numId="16" w16cid:durableId="1617445258">
    <w:abstractNumId w:val="0"/>
  </w:num>
  <w:num w:numId="17" w16cid:durableId="565185483">
    <w:abstractNumId w:val="13"/>
  </w:num>
  <w:num w:numId="18" w16cid:durableId="1293026295">
    <w:abstractNumId w:val="12"/>
  </w:num>
  <w:num w:numId="19" w16cid:durableId="867765297">
    <w:abstractNumId w:val="24"/>
  </w:num>
  <w:num w:numId="20" w16cid:durableId="1908149333">
    <w:abstractNumId w:val="17"/>
  </w:num>
  <w:num w:numId="21" w16cid:durableId="1517110119">
    <w:abstractNumId w:val="9"/>
  </w:num>
  <w:num w:numId="22" w16cid:durableId="1939363185">
    <w:abstractNumId w:val="30"/>
  </w:num>
  <w:num w:numId="23" w16cid:durableId="152109703">
    <w:abstractNumId w:val="34"/>
  </w:num>
  <w:num w:numId="24" w16cid:durableId="2119442536">
    <w:abstractNumId w:val="5"/>
  </w:num>
  <w:num w:numId="25" w16cid:durableId="1407070383">
    <w:abstractNumId w:val="21"/>
  </w:num>
  <w:num w:numId="26" w16cid:durableId="747112330">
    <w:abstractNumId w:val="20"/>
  </w:num>
  <w:num w:numId="27" w16cid:durableId="567037124">
    <w:abstractNumId w:val="23"/>
  </w:num>
  <w:num w:numId="28" w16cid:durableId="788814539">
    <w:abstractNumId w:val="15"/>
  </w:num>
  <w:num w:numId="29" w16cid:durableId="845704625">
    <w:abstractNumId w:val="11"/>
  </w:num>
  <w:num w:numId="30" w16cid:durableId="11684421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760766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51325848">
    <w:abstractNumId w:val="10"/>
  </w:num>
  <w:num w:numId="33" w16cid:durableId="1802072024">
    <w:abstractNumId w:val="27"/>
  </w:num>
  <w:num w:numId="34" w16cid:durableId="1548175614">
    <w:abstractNumId w:val="31"/>
  </w:num>
  <w:num w:numId="35" w16cid:durableId="986783599">
    <w:abstractNumId w:val="1"/>
  </w:num>
  <w:num w:numId="36" w16cid:durableId="106388086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B95"/>
    <w:rsid w:val="00022218"/>
    <w:rsid w:val="000721E0"/>
    <w:rsid w:val="000877F1"/>
    <w:rsid w:val="000A2E4E"/>
    <w:rsid w:val="000A7825"/>
    <w:rsid w:val="000C0373"/>
    <w:rsid w:val="000E14AD"/>
    <w:rsid w:val="000F6CF8"/>
    <w:rsid w:val="001237A5"/>
    <w:rsid w:val="00125743"/>
    <w:rsid w:val="00163CF0"/>
    <w:rsid w:val="002931B3"/>
    <w:rsid w:val="003235C0"/>
    <w:rsid w:val="003365CD"/>
    <w:rsid w:val="003910D8"/>
    <w:rsid w:val="003A61BA"/>
    <w:rsid w:val="00405CFC"/>
    <w:rsid w:val="00462C24"/>
    <w:rsid w:val="004E222B"/>
    <w:rsid w:val="005A57BA"/>
    <w:rsid w:val="00622F41"/>
    <w:rsid w:val="006A19DB"/>
    <w:rsid w:val="006D4E83"/>
    <w:rsid w:val="006E762F"/>
    <w:rsid w:val="006E77CE"/>
    <w:rsid w:val="006F41B4"/>
    <w:rsid w:val="00766851"/>
    <w:rsid w:val="007C3348"/>
    <w:rsid w:val="008124DC"/>
    <w:rsid w:val="008432ED"/>
    <w:rsid w:val="00846EEA"/>
    <w:rsid w:val="008A315A"/>
    <w:rsid w:val="008E5BD6"/>
    <w:rsid w:val="00921B95"/>
    <w:rsid w:val="009B42CC"/>
    <w:rsid w:val="009D6C94"/>
    <w:rsid w:val="00A1697F"/>
    <w:rsid w:val="00A51A10"/>
    <w:rsid w:val="00B443FC"/>
    <w:rsid w:val="00B4550F"/>
    <w:rsid w:val="00BA3A83"/>
    <w:rsid w:val="00BB5955"/>
    <w:rsid w:val="00BD2244"/>
    <w:rsid w:val="00C123A9"/>
    <w:rsid w:val="00C13E50"/>
    <w:rsid w:val="00C6357E"/>
    <w:rsid w:val="00C6616B"/>
    <w:rsid w:val="00CC7702"/>
    <w:rsid w:val="00CE6399"/>
    <w:rsid w:val="00D1080A"/>
    <w:rsid w:val="00D373C1"/>
    <w:rsid w:val="00D52A5A"/>
    <w:rsid w:val="00DD25D8"/>
    <w:rsid w:val="00E04729"/>
    <w:rsid w:val="00E07890"/>
    <w:rsid w:val="00E72AE6"/>
    <w:rsid w:val="00E90059"/>
    <w:rsid w:val="00E951A2"/>
    <w:rsid w:val="00EB02B8"/>
    <w:rsid w:val="00F7066E"/>
    <w:rsid w:val="00F70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23866"/>
  <w15:docId w15:val="{F6B819BE-96B8-41C5-9370-0D873663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Pr>
      <w:color w:val="808080"/>
    </w:rPr>
  </w:style>
  <w:style w:type="paragraph" w:customStyle="1" w:styleId="adresat">
    <w:name w:val="adresat"/>
    <w:basedOn w:val="Normalny"/>
    <w:link w:val="adresatZnak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pPr>
      <w:spacing w:after="0" w:line="360" w:lineRule="auto"/>
      <w:contextualSpacing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dresatZnak">
    <w:name w:val="adresat Znak"/>
    <w:basedOn w:val="Domylnaczcionkaakapitu"/>
    <w:link w:val="adresat"/>
  </w:style>
  <w:style w:type="character" w:customStyle="1" w:styleId="pismamzZnak">
    <w:name w:val="pisma_mz Znak"/>
    <w:link w:val="pismamz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odstawowywcity">
    <w:name w:val="Body Text Indent"/>
    <w:basedOn w:val="Normalny"/>
    <w:link w:val="TekstpodstawowywcityZnak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</w:style>
  <w:style w:type="paragraph" w:customStyle="1" w:styleId="Akapitzlist1">
    <w:name w:val="Akapit z listą1"/>
    <w:basedOn w:val="Normalny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Pr>
      <w:sz w:val="22"/>
      <w:szCs w:val="22"/>
      <w:lang w:eastAsia="en-US"/>
    </w:rPr>
  </w:style>
  <w:style w:type="numbering" w:customStyle="1" w:styleId="Bezlisty2">
    <w:name w:val="Bez listy2"/>
    <w:next w:val="Bezlisty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01">
    <w:name w:val="cf01"/>
    <w:basedOn w:val="Domylnaczcionkaakapitu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</w:style>
  <w:style w:type="numbering" w:customStyle="1" w:styleId="Bezlisty4">
    <w:name w:val="Bez listy4"/>
    <w:next w:val="Bezlisty"/>
    <w:uiPriority w:val="99"/>
    <w:semiHidden/>
    <w:unhideWhenUsed/>
  </w:style>
  <w:style w:type="numbering" w:customStyle="1" w:styleId="Bezlisty5">
    <w:name w:val="Bez listy5"/>
    <w:next w:val="Bezlisty"/>
    <w:uiPriority w:val="99"/>
    <w:semiHidden/>
    <w:unhideWhenUsed/>
  </w:style>
  <w:style w:type="numbering" w:customStyle="1" w:styleId="Bezlisty6">
    <w:name w:val="Bez listy6"/>
    <w:next w:val="Bezlisty"/>
    <w:uiPriority w:val="99"/>
    <w:semiHidden/>
    <w:unhideWhenUsed/>
  </w:style>
  <w:style w:type="numbering" w:customStyle="1" w:styleId="Bezlisty7">
    <w:name w:val="Bez listy7"/>
    <w:next w:val="Bezlisty"/>
    <w:uiPriority w:val="99"/>
    <w:semiHidden/>
    <w:unhideWhenUsed/>
  </w:style>
  <w:style w:type="paragraph" w:customStyle="1" w:styleId="pf1">
    <w:name w:val="pf1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8">
    <w:name w:val="Bez listy8"/>
    <w:next w:val="Bezlisty"/>
    <w:uiPriority w:val="99"/>
    <w:semiHidden/>
    <w:unhideWhenUsed/>
  </w:style>
  <w:style w:type="numbering" w:customStyle="1" w:styleId="Bezlisty9">
    <w:name w:val="Bez listy9"/>
    <w:next w:val="Bezlisty"/>
    <w:uiPriority w:val="99"/>
    <w:semiHidden/>
    <w:unhideWhenUsed/>
  </w:style>
  <w:style w:type="numbering" w:customStyle="1" w:styleId="Bezlisty10">
    <w:name w:val="Bez listy10"/>
    <w:next w:val="Bezlisty"/>
    <w:uiPriority w:val="99"/>
    <w:semiHidden/>
    <w:unhideWhenUsed/>
  </w:style>
  <w:style w:type="character" w:customStyle="1" w:styleId="cf11">
    <w:name w:val="cf11"/>
    <w:basedOn w:val="Domylnaczcionkaakapitu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30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6ACC0-8D47-46ED-B54D-A0A4C4F47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Links>
    <vt:vector size="6" baseType="variant">
      <vt:variant>
        <vt:i4>6881369</vt:i4>
      </vt:variant>
      <vt:variant>
        <vt:i4>-1</vt:i4>
      </vt:variant>
      <vt:variant>
        <vt:i4>2050</vt:i4>
      </vt:variant>
      <vt:variant>
        <vt:i4>1</vt:i4>
      </vt:variant>
      <vt:variant>
        <vt:lpwstr>cid:ii_147eef7b1fd9fb4c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 Justyna</dc:creator>
  <cp:keywords/>
  <cp:lastModifiedBy>Wilk Justyna</cp:lastModifiedBy>
  <cp:revision>3</cp:revision>
  <dcterms:created xsi:type="dcterms:W3CDTF">2025-06-09T12:12:00Z</dcterms:created>
  <dcterms:modified xsi:type="dcterms:W3CDTF">2025-06-09T12:16:00Z</dcterms:modified>
</cp:coreProperties>
</file>